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Dance Director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Dance Director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Dance Director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Dance Director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Dance Director as required: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Proven understanding of large-scale productions, a flair for choreography and exceptional organizational &amp; communication skills</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Willingness to work as part of a team</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Liaise with the Design Director for all Mass Dance and specialized dance items.</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Liaise with the choreographers, SSPC Dance director and parents, to ensure all dancers are costumed appropriately in a cost-effective way ensuring all DEC standards are adhered to</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Liaise with the Operations Manager on budgets, rehearsal requirements</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Coordinate the Choreographers package in consultation with the Operations Manager and Creative Director </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Attend and coordinate specialist dance auditions if required</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Liaise and coordinate specialist dance groups (ie. Circus, ADE, disability groups)</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Attend weekend rehearsals when needed, mass rehearsals and show week as scheduled</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Attend all production team meetings</w:t>
      </w:r>
      <w:r w:rsidDel="00000000" w:rsidR="00000000" w:rsidRPr="00000000">
        <w:rPr>
          <w:rtl w:val="0"/>
        </w:rPr>
      </w:r>
    </w:p>
    <w:p w:rsidR="00000000" w:rsidDel="00000000" w:rsidP="00000000" w:rsidRDefault="00000000" w:rsidRPr="00000000" w14:paraId="0000001F">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20">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bookmarkStart w:colFirst="0" w:colLast="0" w:name="_bu4pzkn0kofv" w:id="0"/>
      <w:bookmarkEnd w:id="0"/>
      <w:r w:rsidDel="00000000" w:rsidR="00000000" w:rsidRPr="00000000">
        <w:rPr>
          <w:rFonts w:ascii="Montserrat" w:cs="Montserrat" w:eastAsia="Montserrat" w:hAnsi="Montserrat"/>
          <w:color w:val="1f3864"/>
          <w:sz w:val="20"/>
          <w:szCs w:val="20"/>
          <w:highlight w:val="white"/>
          <w:rtl w:val="0"/>
        </w:rPr>
        <w:t xml:space="preserve">Demonstrated understanding of large-scale productions and expertise in one or more areas of the production.</w:t>
      </w: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6">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7t4ltcp478z5"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3234"/>
        <w:gridCol w:w="5787"/>
        <w:tblGridChange w:id="0">
          <w:tblGrid>
            <w:gridCol w:w="3234"/>
            <w:gridCol w:w="5787"/>
          </w:tblGrid>
        </w:tblGridChange>
      </w:tblGrid>
      <w:tr>
        <w:trPr>
          <w:cantSplit w:val="1"/>
          <w:trHeight w:val="397" w:hRule="atLeast"/>
          <w:tblHeader w:val="1"/>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0">
            <w:pPr>
              <w:rPr>
                <w:sz w:val="24"/>
                <w:szCs w:val="24"/>
              </w:rPr>
            </w:pPr>
            <w:r w:rsidDel="00000000" w:rsidR="00000000" w:rsidRPr="00000000">
              <w:rPr>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44546a"/>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2025-09-08T02:31:55Z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71ac71a6-bd4b-43d8-a01d-19ed0244f19a</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